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right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12/03/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6eszyiog8xd8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παρουσιάζει τον 5ο Απολογισμό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53fptaqv1teu" w:id="1"/>
      <w:bookmarkEnd w:id="1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Βιωσιμότητας για το 2024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έναν ενιαίο απολογισμό, η εταιρεία αναδεικνύει τα δεδομένα, τις επενδύσεις και τον θετικό της αντίκτυπο σε 5 στρατηγικά πεδία δράσης.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360" w:lineRule="auto"/>
        <w:ind w:left="0" w:right="0" w:firstLine="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παρουσιάζει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5o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Απολογισμό Βιωσιμότητας για το 2024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αποτυπώνοντας τη σταθερή δέσμευσή της για μια υπεύθυνη επιχειρηματικότητα που παράγει αξία για την ελληνική οικονομία, την κοινωνία και το περιβάλλον. Με κεντρικό σύνθημα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«Επαναπροσδιορίζουμε τη Βιωσιμότητα – Χτίζουμε το Κοινό μας Σπίτι»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φετινή έκδοση σε μορφή magazine αναδεικνύει πώς η βιωσιμότητα μετουσιώνεται σε καθημερινή πράξη.</w:t>
      </w:r>
    </w:p>
    <w:p w:rsidR="00000000" w:rsidDel="00000000" w:rsidP="00000000" w:rsidRDefault="00000000" w:rsidRPr="00000000" w14:paraId="00000006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Μια κοινή μελέτη για Ελλάδα και Κύπρο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Αξίζει να σημειωθεί ότι ο φετινός Απολογισμός είναι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κοινός για τη Lidl Ελλάς και τη 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υπογραμμίζοντας την ενιαία στρατηγική του οργανισμού. Η προσέγγιση αυτή επιτρέπει την ανταλλαγή βέλτιστων πρακτικών και τη μεγιστοποίηση του θετικού αντίκτυπου και στις δύο χώρες, μέσα από 5 κεντρικά πεδία δράσης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numPr>
          <w:ilvl w:val="0"/>
          <w:numId w:val="1"/>
        </w:numPr>
        <w:spacing w:after="0" w:afterAutospacing="0" w:line="342.85714285714283" w:lineRule="auto"/>
        <w:ind w:left="720" w:hanging="360"/>
        <w:jc w:val="both"/>
        <w:rPr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Προστασία του Κλίματος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– Στόχος Net Zero έως το 2050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numPr>
          <w:ilvl w:val="0"/>
          <w:numId w:val="1"/>
        </w:numPr>
        <w:spacing w:after="0" w:afterAutospacing="0" w:line="342.85714285714283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Διατήρηση των Πόρων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– Έμφαση στην Κυκλικότητα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720" w:right="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Σεβασμός στη Βιοποικιλότητα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– Υπεύθυνη Προμήθεια &amp; Προστασία Οικοσυστημάτων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720" w:right="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Δίκαιο Επιχειρείν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– Ισότητα &amp; Στήριξη της Τοπικής Οικονομίας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360" w:lineRule="auto"/>
        <w:ind w:left="720" w:right="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Προάσπιση της Υγείας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– Συνειδητή Διατροφή για Όλους</w:t>
      </w:r>
    </w:p>
    <w:p w:rsidR="00000000" w:rsidDel="00000000" w:rsidP="00000000" w:rsidRDefault="00000000" w:rsidRPr="00000000" w14:paraId="0000000D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Κοινωνική Συνεισφορά με Μετρήσιμο Αποτέλεσμα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Το 2024, η Lidl Ελλάς πραγματοποίησε κοινωνικές και περιβαλλοντικές επενδύσεις ύψους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€1,99 εκατ.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στηρίζοντας οργανισμούς όπως το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«Χαμόγελο του Παιδιού»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We4All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τον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ΑΡΚΤΟΥΡΟ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Παράλληλα, η Lidl Κύπρου ενίσχυσε το δικό της κοινωνικό αποτύπωμα με επενδύσεις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€589,7 χιλ.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αναδεικνύοντας τη δύναμη της κοινής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προσφοράς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στηρίζοντας οργανισμούς όπως το  Hope for Children και η ΑΚΤΗ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«Θέλαμε να δείξουμε ότι η βιωσιμότητα δεν είναι θεωρία. Είναι πράξεις που συμβαίνουν καθημερινά – μικρές και μεγάλες. Ο απολογισμός είναι μια ανοιχτή συζήτηση για το πώς φροντίζουμε τον τόπο μας και πώς εξελισσόμαστε μαζί με την κοινωνία»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δηλώνει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Βασιλική Αδαμίδου, Διευθύντρια Εταιρικών Υποθέσεων και Βιωσιμότητας της Lidl Ελλάς.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το έτος 2024, η Έκθεση Βιώσιμης Ανάπτυξης, σε επίπεδο Ομίλου Schwarz και σε επίπεδο Lidl Stiftung, που καλύπτει όλες τις χώρες στις οποίες δραστηριοποιείται η Lidl, ακολουθεί διεθνή πρότυπα και ευρωπαϊκές οδηγίες.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Διαβάστε ολόκληρο τον Απολογισμό Βιωσιμότητας 2024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εδώ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-182239</wp:posOffset>
              </wp:positionH>
              <wp:positionV relativeFrom="paragraph">
                <wp:posOffset>9920607</wp:posOffset>
              </wp:positionV>
              <wp:extent cx="5405628" cy="906780"/>
              <wp:effectExtent b="0" l="0" r="0" t="0"/>
              <wp:wrapSquare wrapText="bothSides" distB="0" distT="0" distL="114300" distR="114300"/>
              <wp:docPr id="8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-182239</wp:posOffset>
              </wp:positionH>
              <wp:positionV relativeFrom="paragraph">
                <wp:posOffset>9920607</wp:posOffset>
              </wp:positionV>
              <wp:extent cx="5405628" cy="906780"/>
              <wp:effectExtent b="0" l="0" r="0" t="0"/>
              <wp:wrapSquare wrapText="bothSides" distB="0" distT="0" distL="114300" distR="114300"/>
              <wp:docPr id="8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05628" cy="9067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9721563</wp:posOffset>
              </wp:positionV>
              <wp:extent cx="6438900" cy="670560"/>
              <wp:effectExtent b="0" l="0" r="0" t="0"/>
              <wp:wrapSquare wrapText="bothSides" distB="0" distT="0" distL="114300" distR="114300"/>
              <wp:docPr id="8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9721563</wp:posOffset>
              </wp:positionV>
              <wp:extent cx="6438900" cy="670560"/>
              <wp:effectExtent b="0" l="0" r="0" t="0"/>
              <wp:wrapSquare wrapText="bothSides" distB="0" distT="0" distL="114300" distR="114300"/>
              <wp:docPr id="8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38900" cy="6705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-1123945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8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color w:val="000000"/>
      </w:rPr>
      <w:drawing>
        <wp:inline distB="0" distT="0" distL="0" distR="0">
          <wp:extent cx="792855" cy="793331"/>
          <wp:effectExtent b="0" l="0" r="0" t="0"/>
          <wp:docPr id="8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-674363</wp:posOffset>
              </wp:positionH>
              <wp:positionV relativeFrom="paragraph">
                <wp:posOffset>273686</wp:posOffset>
              </wp:positionV>
              <wp:extent cx="3020060" cy="321310"/>
              <wp:effectExtent b="0" l="0" r="0" t="0"/>
              <wp:wrapNone/>
              <wp:docPr id="8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-674363</wp:posOffset>
              </wp:positionH>
              <wp:positionV relativeFrom="paragraph">
                <wp:posOffset>273686</wp:posOffset>
              </wp:positionV>
              <wp:extent cx="3020060" cy="321310"/>
              <wp:effectExtent b="0" l="0" r="0" t="0"/>
              <wp:wrapNone/>
              <wp:docPr id="8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20060" cy="3213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a4">
    <w:name w:val="header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a5">
    <w:name w:val="footer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5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l-GR"/>
    </w:rPr>
  </w:style>
  <w:style w:type="paragraph" w:styleId="FuzeileText" w:customStyle="1">
    <w:name w:val="Fußzeile (Text)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zh-TW"/>
    </w:rPr>
  </w:style>
  <w:style w:type="character" w:styleId="a6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7">
    <w:name w:val="Balloon Text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7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8">
    <w:name w:val="Emphasis"/>
    <w:basedOn w:val="a0"/>
    <w:uiPriority w:val="20"/>
    <w:qFormat w:val="1"/>
    <w:rsid w:val="007E4BED"/>
    <w:rPr>
      <w:i w:val="1"/>
      <w:iCs w:val="1"/>
    </w:rPr>
  </w:style>
  <w:style w:type="paragraph" w:styleId="a9">
    <w:name w:val="List Paragraph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a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9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b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c">
    <w:name w:val="annotation text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c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d">
    <w:name w:val="annotation subject"/>
    <w:basedOn w:val="ac"/>
    <w:next w:val="ac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d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e">
    <w:name w:val="Revision"/>
    <w:hidden w:val="1"/>
    <w:uiPriority w:val="99"/>
    <w:semiHidden w:val="1"/>
    <w:rsid w:val="00B722D9"/>
    <w:pPr>
      <w:spacing w:after="0" w:line="240" w:lineRule="auto"/>
    </w:pPr>
    <w:rPr>
      <w:rFonts w:cs="Times New Roman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lidl_hellas/" TargetMode="External"/><Relationship Id="rId10" Type="http://schemas.openxmlformats.org/officeDocument/2006/relationships/hyperlink" Target="http://www.facebook.com/lidlgr/" TargetMode="External"/><Relationship Id="rId13" Type="http://schemas.openxmlformats.org/officeDocument/2006/relationships/footer" Target="footer1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linkedin.com/company/lidl-hellas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sustainability/dimosieuseis/sustainability-reports" TargetMode="External"/><Relationship Id="rId8" Type="http://schemas.openxmlformats.org/officeDocument/2006/relationships/hyperlink" Target="https://corporate.lidl-hellas.gr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ZIqzOwQ06XsE9MzuYQBNEgzdsg==">CgMxLjAyDmguNmVzenlpb2c4eGQ4Mg5oLjUzZnB0YXF2MXRldTgAciExd21jZmxXeVBQQ2NwZVNHLS1nejkyU21RM1JlTlppT28=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